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8CB" w:rsidRPr="00EA0D60" w:rsidRDefault="006578CB" w:rsidP="00EA0D60">
      <w:pPr>
        <w:shd w:val="clear" w:color="auto" w:fill="FFFFFF"/>
        <w:spacing w:before="75" w:after="0" w:line="240" w:lineRule="auto"/>
        <w:ind w:left="300"/>
        <w:rPr>
          <w:rFonts w:ascii="Verdana" w:eastAsia="Times New Roman" w:hAnsi="Verdana" w:cs="Times New Roman"/>
          <w:b/>
          <w:bCs/>
          <w:color w:val="222222"/>
          <w:sz w:val="28"/>
          <w:szCs w:val="30"/>
          <w:lang w:eastAsia="ru-RU"/>
        </w:rPr>
      </w:pPr>
      <w:r w:rsidRPr="00EA0D60">
        <w:rPr>
          <w:rFonts w:ascii="Verdana" w:eastAsia="Times New Roman" w:hAnsi="Verdana" w:cs="Times New Roman"/>
          <w:b/>
          <w:bCs/>
          <w:color w:val="222222"/>
          <w:sz w:val="28"/>
          <w:szCs w:val="30"/>
          <w:lang w:eastAsia="ru-RU"/>
        </w:rPr>
        <w:t>Сведения о заключенных договорах за 05.2023 год</w:t>
      </w:r>
    </w:p>
    <w:tbl>
      <w:tblPr>
        <w:tblW w:w="15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6804"/>
        <w:gridCol w:w="841"/>
        <w:gridCol w:w="3898"/>
      </w:tblGrid>
      <w:tr w:rsidR="006578CB" w:rsidRPr="00EA0D60" w:rsidTr="00EA0D60">
        <w:trPr>
          <w:tblHeader/>
        </w:trPr>
        <w:tc>
          <w:tcPr>
            <w:tcW w:w="4111" w:type="dxa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8"/>
                <w:szCs w:val="30"/>
                <w:lang w:eastAsia="ru-RU"/>
              </w:rPr>
            </w:pPr>
          </w:p>
        </w:tc>
        <w:tc>
          <w:tcPr>
            <w:tcW w:w="6804" w:type="dxa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898" w:type="dxa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6578CB" w:rsidRPr="00EA0D60" w:rsidTr="00EA0D60">
        <w:trPr>
          <w:tblHeader/>
        </w:trPr>
        <w:tc>
          <w:tcPr>
            <w:tcW w:w="15651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  <w:t>1.Информация о заказчике</w:t>
            </w:r>
          </w:p>
        </w:tc>
      </w:tr>
      <w:tr w:rsidR="006578CB" w:rsidRPr="00EA0D60" w:rsidTr="00EA0D60">
        <w:tc>
          <w:tcPr>
            <w:tcW w:w="15651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</w:pPr>
          </w:p>
        </w:tc>
      </w:tr>
      <w:tr w:rsidR="006578CB" w:rsidRPr="00EA0D60" w:rsidTr="00EA0D60">
        <w:tc>
          <w:tcPr>
            <w:tcW w:w="11753" w:type="dxa"/>
            <w:gridSpan w:val="3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Коды</w:t>
            </w:r>
          </w:p>
        </w:tc>
      </w:tr>
      <w:tr w:rsidR="006578CB" w:rsidRPr="00EA0D60" w:rsidTr="00EA0D60">
        <w:tc>
          <w:tcPr>
            <w:tcW w:w="4111" w:type="dxa"/>
            <w:shd w:val="clear" w:color="auto" w:fill="FFFFFF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6804" w:type="dxa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8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8602060185</w:t>
            </w:r>
          </w:p>
        </w:tc>
      </w:tr>
      <w:tr w:rsidR="006578CB" w:rsidRPr="00EA0D60" w:rsidTr="00EA0D60">
        <w:tc>
          <w:tcPr>
            <w:tcW w:w="10915" w:type="dxa"/>
            <w:gridSpan w:val="2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8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860201001</w:t>
            </w:r>
          </w:p>
        </w:tc>
      </w:tr>
      <w:tr w:rsidR="006578CB" w:rsidRPr="00EA0D60" w:rsidTr="00EA0D60">
        <w:tc>
          <w:tcPr>
            <w:tcW w:w="4111" w:type="dxa"/>
            <w:shd w:val="clear" w:color="auto" w:fill="FFFFFF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8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ОКОПФ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12267</w:t>
            </w:r>
          </w:p>
        </w:tc>
      </w:tr>
      <w:tr w:rsidR="006578CB" w:rsidRPr="00EA0D60" w:rsidTr="00EA0D60">
        <w:tc>
          <w:tcPr>
            <w:tcW w:w="4111" w:type="dxa"/>
            <w:shd w:val="clear" w:color="auto" w:fill="FFFFFF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8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ОКФС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</w:t>
            </w:r>
          </w:p>
        </w:tc>
      </w:tr>
      <w:tr w:rsidR="006578CB" w:rsidRPr="00EA0D60" w:rsidTr="00EA0D60">
        <w:tc>
          <w:tcPr>
            <w:tcW w:w="4111" w:type="dxa"/>
            <w:shd w:val="clear" w:color="auto" w:fill="FFFFFF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628408, АВТОНОМНЫЙ ОКРУГ ХАНТЫ-МАНСИЙСКИЙ АВТОНОМНЫЙ ОКРУГ - ЮГРА,ГОРОД СУРГУТ,УЛИЦА УНИВЕРСИТЕТСКАЯ, дом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ДОМ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4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3462-776386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8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ОКТМО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71876000</w:t>
            </w:r>
          </w:p>
        </w:tc>
      </w:tr>
      <w:tr w:rsidR="006578CB" w:rsidRPr="00EA0D60" w:rsidTr="00EA0D60">
        <w:tc>
          <w:tcPr>
            <w:tcW w:w="4111" w:type="dxa"/>
            <w:shd w:val="clear" w:color="auto" w:fill="FFFFFF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Вид документа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8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  <w:tr w:rsidR="006578CB" w:rsidRPr="00EA0D60" w:rsidTr="00EA0D60">
        <w:tc>
          <w:tcPr>
            <w:tcW w:w="4111" w:type="dxa"/>
            <w:shd w:val="clear" w:color="auto" w:fill="FFFFFF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i/>
                <w:iCs/>
                <w:color w:val="222222"/>
                <w:sz w:val="18"/>
                <w:szCs w:val="20"/>
                <w:lang w:eastAsia="ru-RU"/>
              </w:rPr>
              <w:t>Единица измерения</w:t>
            </w:r>
          </w:p>
        </w:tc>
        <w:tc>
          <w:tcPr>
            <w:tcW w:w="6804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рубль</w:t>
            </w:r>
          </w:p>
        </w:tc>
        <w:tc>
          <w:tcPr>
            <w:tcW w:w="8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ОКЕИ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383</w:t>
            </w:r>
          </w:p>
        </w:tc>
      </w:tr>
    </w:tbl>
    <w:p w:rsidR="006578CB" w:rsidRPr="00EA0D60" w:rsidRDefault="006578CB" w:rsidP="006578CB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20"/>
          <w:szCs w:val="21"/>
          <w:lang w:eastAsia="ru-RU"/>
        </w:rPr>
      </w:pPr>
      <w:r w:rsidRPr="00EA0D60">
        <w:rPr>
          <w:rFonts w:ascii="Verdana" w:eastAsia="Times New Roman" w:hAnsi="Verdana" w:cs="Times New Roman"/>
          <w:b/>
          <w:bCs/>
          <w:color w:val="222222"/>
          <w:sz w:val="20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67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310"/>
        <w:gridCol w:w="1692"/>
        <w:gridCol w:w="3877"/>
        <w:gridCol w:w="1665"/>
        <w:gridCol w:w="798"/>
        <w:gridCol w:w="798"/>
      </w:tblGrid>
      <w:tr w:rsidR="006578CB" w:rsidRPr="00EA0D60" w:rsidTr="00EA0D6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Предмет договора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реконструкции ПС 110/35/10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Восток (замена ЗРУ-10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, ячеек, выключателей, переустройство кабельных каналов) для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Нижневартовские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58602060185230002610000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62 704 284,00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оборудования средств связи для нужд филиалов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58602060185230002620000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349 380,00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Оказание услуг по организации и проведению соревнований профессионального мастерства работников блока по реализации услуг районов электрических сетей филиалов ДЗО ПАО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в 2023 году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58602060185230002630000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1 302 347,70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Оказание услуг по авторскому надзору на объекте "Реконструкция ВЛ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Снежная – Ханты-Мансийская (замена провода АЖ 120 на АС 120 на участке ВЛ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Снежная –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Фоминская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)" для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Нефтеюганские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58602060185230002640000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3 196 418,00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Предоставление неисключительного права использования программного обеспечения "Оперативно-информационный комплекс Диспетчер НТ" (ОИК Диспетчер НТ) для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Сургутские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58602060185230002650000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11 258 280,00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разъединителей, заземлителей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Тюменские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122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58602060185230002660000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517 080,00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оборудования средств связи для нужд филиалов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58602060185230002690000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411 852,00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Поставка двигателя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Cummins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4ISBe (Лонг Блок)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58602060185230002670000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588 000,00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реконструкции ВЛ-10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ф. Кордон, ВЛ-10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Комарово от ПС 110/10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Ожогино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(ГКУ ТО Управление автомобильных дорог, демонтаж: ВЛ-10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Кордон протяженностью 1,649 км, ВЛ-10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Комарово протяженностью 1,66 км, монтаж: КЛ-10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Кордон 1,804 км, КЛ-10 Комарово 1,815км) для нужд филиала АО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 Тюменские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58602060185230002700000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84 068 650,76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комплекта геодезического оборудования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Нижневартовские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122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58602060185230002720000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2 181 120,00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систем и аппаратуры диагностики оборудования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Нижневартовские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58602060185230002730000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780 104,40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комплектующих и запасных частей для компьютерной техники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Ноябрьские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58602060185230002740000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1 610 724,16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частей и комплектующих коммуникационного оборудования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Ноябрьские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131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58602060185230002750000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1 064 400,00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Выполнение работ по корректировке проекта "Реконструкция ПС 110/10кВ Горная (ОПУ, РЗА, КРУ-10)" Тобольского ТПО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Тюменские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121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58602060185230002760000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2 516 400,00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Аренда муниципального электросетевого имущества, расположенного по адресу: Тюменская область,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Исетский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район (11 месяцев)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58602060185230002770000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3 017 638,80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Право заключения договора на оказание услуг по проведению обязательного ежегодного аудита отчетности РСБУ и аудита отчетности МСФО ДО ПАО «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» за 2023 год.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122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58602060185230002790000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8 682 630,00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Оказание услуг по установке систем кондиционирования воздуха на объектах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Нижневартовские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131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58602060185230002780000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507 217,81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оборудования АСУ ТП, комплектующие и запасные части к ним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Тюменские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3 699 840,00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Выполнение работ по реконструкции ПС 110кВ Алехинская, Алмаз, Дальняя, КНС-6, Нижне-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Сортымская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Блочная,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Сытомино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Водная,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Трансгаз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Шукшинская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, КНС-11 (замена вентильных разрядников на ОПН 211 шт.)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Сургутские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20 493 104,78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реконструкции ВЛ-110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отпайка на ПС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Левохеттинская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, 1 цепь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Северные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54 230 509,87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прибора контроля высоковольтных выключателей для проверки высоковольтных выключателей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131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1 577 136,00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устройства многофункционального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Ноябрьские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759 615,00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кабельно-проводниковой продукции для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Тюменские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882 936,00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аппаратуры для проверки и испытаний устройств РЗА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Нижневартовские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131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1 083 000,00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подъёмника передвижного с электромеханическим приводом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Нижневартовские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1 657 479,60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реконструкции ПС КНС-5, ЦПС Южный,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Верхнеказымская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Амня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(Замена системы оперативного тока)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18 915 467,60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измерительных приборов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Урайские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131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6 225 331,50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высоковольтного ввода 35кВ и выше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Нижневартовские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122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1 451 064,00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проектных работ по реконструкции ССПИ на ПС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Ямбург, ПС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Взлетная, ПС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ЯГП-2, ПС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ЯГП-3, ПС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ЯГП-4, ПС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ЯГП-6, ПС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ЯГП-7 (организация прямых основных каналов связи)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Северныеэлектрические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6 165 000,00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проектных работ по реконструкции ССПИ на ПС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УКПГ-10, ПС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Табь-Яха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, ПС 220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Оленья (организация резервного магистрального канала связи АБК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СевЭС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– ПС Ямбург)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Северные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58602060185230002930000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3 432 000,00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Выполнение работ по развитию Системы электронного документооборота (СЭДО)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(Внедрение модуля управления проектно-сметной документацией)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58602060185230002910000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52 374 019,52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технической инвентаризации (оформление технических паспортов), выполнение кадастровых работ (оформление технических планов), сопровождение процедуры кадастрового учета объектов недвижимости, проведение кадастровых работ с целью эксплуатации объектов 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электросетевого хозяйства на земельных (лесных) участках, установление границ охранных зон с внесением сведений в Единый государственный реестр недвижимости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Тюменские электрические сети (Управление)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120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122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1 400 000,00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1 200 000 000,00 (один миллиард двести миллионов) рублей для нужд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Тюмень".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611 748 000,00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Выбор финансовой организации на право заключения договора кредитования в форме возобновляемой кредитной линии с лимитом задолженности 1 800 000 000,00 (один миллиард восемьсот миллионов) рублей для нужд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Тюмень".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899 100 000,00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Предоставление права на использование программно-вычислительного комплекса для автоматизированного расчета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уставок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релейной защиты и автоматики, включая дополнительный модуль РЗА и модуль определения места повреждения для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6 400 000,00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комплекса работ по реконструкции участка ВЛ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Бурдун-Сибжилстрой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I-II в пролетах опор №41-46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Тюменские электрические сети.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58602060185230002990000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100 466 043,00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проектных работ по объектам: "Реконструкция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периметрального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ограждения базы СРЭС филиала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Урайские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ЭС по программе "Антитеррор"", "Реконструкция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периметрального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ограждения базы ЦРЭС (базы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Кондинского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участка УРЭС) филиала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Урайские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ЭС по программе "Антитеррор""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Урайские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122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58602060185230002850000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569 375,55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38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арматуры линейной для провода СИП 1кВ и выше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Тюменские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58602060185230003000000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25 082 261,81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39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Предоставление услуг водным транспортом в 2023 году,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Нефтеюганские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сети, на 101 -146 км. от устья р. Иртыш.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58602060185230003020000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964 800,00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 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 xml:space="preserve">по объекту: "ВЛ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отпайка от ВЛ 110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Салехард-Северное Сияние на ПС 110/35/6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Шакуровская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 ПС 110/35/6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Шакуровская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"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Северные электрические сети.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58602060185230003040000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4 196 103,32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41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проектно-изыскательских работ по строительству ПС 220/35/10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Ярудей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 ВЛ 220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Северные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58602060185230003050000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45 452 973,33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Поставка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измельчителя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веток прицепного типа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Ноябрьские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122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58602060185230003060000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2 100 000,00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Выполнение работ по реконструкции ВЛ-0,4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и КТП 10/0,4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Тобольского ТПО (1 этап)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Тюменские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58602060185230003070000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71 738 932,80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вагон -домов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Ноябрьские электрические сети.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122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58602060185230003080000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4 998 199,20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Поставка поверочной и измерительной аппаратуры для нужд филиала АО "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Тюмень"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Нижневартовские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131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58602060185230003090000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2 112 762,00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Поставка поставку стенда для моделирования схем включения приборов учета для филиала АО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Россети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Тюмень Тюменские электрические сети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120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58602060185230003120000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495 000,00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Подрядчик обязуется по заданию Заказчика выполнить аварийно-восстановительные работы по ликвидации последствий аварий на электросетевых объектах Заказчика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220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58602060185230003200000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1 359 079,26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неразмещении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19 618 704,57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287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6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39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</w:t>
            </w:r>
          </w:p>
        </w:tc>
      </w:tr>
      <w:tr w:rsidR="006578CB" w:rsidRPr="00EA0D60" w:rsidTr="00EA0D60">
        <w:tc>
          <w:tcPr>
            <w:tcW w:w="12743" w:type="dxa"/>
            <w:gridSpan w:val="4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lastRenderedPageBreak/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2 155 505 266,34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334</w:t>
            </w:r>
          </w:p>
        </w:tc>
      </w:tr>
      <w:tr w:rsidR="006578CB" w:rsidRPr="00EA0D60" w:rsidTr="00EA0D60">
        <w:trPr>
          <w:gridAfter w:val="1"/>
        </w:trPr>
        <w:tc>
          <w:tcPr>
            <w:tcW w:w="15668" w:type="dxa"/>
            <w:gridSpan w:val="6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из них:</w:t>
            </w:r>
          </w:p>
        </w:tc>
      </w:tr>
      <w:tr w:rsidR="006578CB" w:rsidRPr="00EA0D60" w:rsidTr="00EA0D60">
        <w:tc>
          <w:tcPr>
            <w:tcW w:w="0" w:type="auto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12251" w:type="dxa"/>
            <w:gridSpan w:val="3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</w:t>
            </w:r>
          </w:p>
        </w:tc>
      </w:tr>
      <w:tr w:rsidR="006578CB" w:rsidRPr="00EA0D60" w:rsidTr="00EA0D60">
        <w:tc>
          <w:tcPr>
            <w:tcW w:w="0" w:type="auto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12251" w:type="dxa"/>
            <w:gridSpan w:val="3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неразмещении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19 618 704,57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287</w:t>
            </w:r>
          </w:p>
        </w:tc>
      </w:tr>
      <w:tr w:rsidR="006578CB" w:rsidRPr="00EA0D60" w:rsidTr="00EA0D60">
        <w:tc>
          <w:tcPr>
            <w:tcW w:w="0" w:type="auto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12251" w:type="dxa"/>
            <w:gridSpan w:val="3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79 907 468,60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</w:t>
            </w:r>
          </w:p>
        </w:tc>
      </w:tr>
      <w:tr w:rsidR="006578CB" w:rsidRPr="00EA0D60" w:rsidTr="00EA0D60">
        <w:tc>
          <w:tcPr>
            <w:tcW w:w="0" w:type="auto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</w:p>
        </w:tc>
        <w:tc>
          <w:tcPr>
            <w:tcW w:w="12251" w:type="dxa"/>
            <w:gridSpan w:val="3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43 887 413,66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</w:tr>
    </w:tbl>
    <w:p w:rsidR="006578CB" w:rsidRPr="00EA0D60" w:rsidRDefault="006578CB" w:rsidP="006578CB">
      <w:pPr>
        <w:shd w:val="clear" w:color="auto" w:fill="FFFFFF"/>
        <w:spacing w:before="75" w:after="0" w:line="240" w:lineRule="auto"/>
        <w:ind w:left="300"/>
        <w:jc w:val="center"/>
        <w:rPr>
          <w:rFonts w:ascii="Verdana" w:eastAsia="Times New Roman" w:hAnsi="Verdana" w:cs="Times New Roman"/>
          <w:b/>
          <w:bCs/>
          <w:color w:val="222222"/>
          <w:sz w:val="20"/>
          <w:szCs w:val="21"/>
          <w:lang w:eastAsia="ru-RU"/>
        </w:rPr>
      </w:pPr>
      <w:r w:rsidRPr="00EA0D60">
        <w:rPr>
          <w:rFonts w:ascii="Verdana" w:eastAsia="Times New Roman" w:hAnsi="Verdana" w:cs="Times New Roman"/>
          <w:b/>
          <w:bCs/>
          <w:color w:val="222222"/>
          <w:sz w:val="20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"/>
        <w:gridCol w:w="2171"/>
        <w:gridCol w:w="3829"/>
        <w:gridCol w:w="2259"/>
        <w:gridCol w:w="3261"/>
        <w:gridCol w:w="1707"/>
        <w:gridCol w:w="1701"/>
      </w:tblGrid>
      <w:tr w:rsidR="006578CB" w:rsidRPr="00EA0D60" w:rsidTr="00EA0D60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№ п/п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20"/>
                <w:lang w:eastAsia="ru-RU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08.12.12.140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Щебень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13.20.44.120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Марля медицинская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13.20.46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13.94.1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58602060185230000220000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11 866,39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11 866,39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13.95.10.111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13.95.10.112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13.96.17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58602060185220012160000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2 281,54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2 281,54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13.96.17.131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14.19.32.130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15.20.11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58602060185220008350000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26 028,96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26 028,96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15.20.13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подноском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Бумага и картон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58602060185220012160000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33 792,72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33 792,72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20.59.11.110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20.59.56.150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22.19.60.111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14.2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22.19.60.112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14.3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22.19.60.113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14.4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22.19.60.119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23.91.11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25.21.12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25.29.11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25.29.12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25.40.12.410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25.40.13.190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25.73.30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25.73.40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25.73.60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Инструмент прочий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25.99.26.000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26.11.22.100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26.11.22.120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26.11.22.200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26.11.30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26.12.10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26.12.30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26.20.11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26.20.12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26.20.13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26.20.14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26.20.15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26.20.16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26.20.17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26.20.2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41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26.20.3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41.1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26.30.11.110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26.30.11.120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26.30.11.130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26.30.11.150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26.30.11.160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26.30.11.190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26.30.13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26.30.23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Аппараты телефонные прочие, устройства и аппаратура для 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26.30.5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58602060185230000870000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18 000,00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18 000,00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26.30.6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58602060185230000870000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43 774,80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43 774,80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55.1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26.40.20.122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26.40.31.190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56.1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26.40.33.110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Видеокамеры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56.2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26.40.33.190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26.40.41.000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bookmarkStart w:id="0" w:name="_GoBack"/>
            <w:bookmarkEnd w:id="0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26.40.42.110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Громкоговорители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26.40.43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26.40.51.000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26.51.2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26.51.4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58602060185220013710000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47 833,20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26.51.5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26.51.6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58602060185220009910000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14 685 198,00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14 685 198,00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65.1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26.51.63.130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26.51.70.190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26.60.11.111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26.60.11.112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флуороскопические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26.60.11.113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26.60.11.129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73.1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26.60.12.111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26.60.12.119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26.60.12.129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Приборы и аппараты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26.60.12.132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26.60.13.190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26.70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58602060185230000870000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104 040,00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104 040,00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26.80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27.11.4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27.11.1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Электродвигатели мощностью не более 37,5 Вт; Электродвигатели 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постоянного тока прочие; генераторы постоянного тока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27.11.2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27.11.3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27.12.1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27.12.2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58602060185230001450000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58602060185220010540000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107 247,84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62 751,84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27.12.31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58602060185230001450000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709,20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27.12.32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27.20.21.000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58602060185230002280000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938 556,00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938 556,00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27.20.22.000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27.20.23.130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27.31.11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27.31.12.120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27.32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58602060185220012160000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56 370,62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56 370,62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96.1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27.40.39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27.51.13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27.51.28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58602060185220011400000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58602060185220010820000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58602060185220012160000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2 356 458,96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2 356 458,96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27.90.31.110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27.90.32.110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Комплектующие (запасные части) электрических машин и оборудования для пайки мягким и твердым припоем 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и сварки, не имеющие самостоятельных группировок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101.1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28.11.13.120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Дизели судовые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28.13.12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28.13.13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28.13.14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28.13.24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28.13.25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Турбокомпрессоры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28.13.26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109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28.13.28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28.13.31.110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28.14.11.110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28.14.11.120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28.14.11.130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Арматура обратная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28.14.11.140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28.14.11.160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117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28.14.11.170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120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28.14.13.110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Клапаны запорные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28.14.13.120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Задвижки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28.14.13.131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28.14.13.132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Затворы дисковые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28.14.13.170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28.21.13.111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125.1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28.21.13.119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125.2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28.22.11.112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125.3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28.22.14.121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125.4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28.22.14.122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125.5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28.22.14.140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Краны портальные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28.22.14.125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28.22.14.126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28.22.14.151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129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28.22.14.159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28.22.15.110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131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28.22.15.120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Погрузчики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28.22.16.110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Лифты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28.22.18.261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28.22.18.269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28.22.18.390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28.24.1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28.25.11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139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28.25.13.111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Шкафы холодильные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28.25.113.116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28.25.13.112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28.25.14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58602060185220009270000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1 644,00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1 644,00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28.25.14.110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58602060185220009270000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1 644,00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1 644,00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28.25.14.120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28.29.12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28.29.50.000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28.29.60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149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28.41.1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28.41.2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28.41.3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28.41.4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28.49.1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28.49.2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28.92.12.130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бурильные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28.92.21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28.92.22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159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28.92.24.110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28.92.24.120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28.92.25.000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28.92.26.110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28.92.27.120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28.92.27.190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28.92.29.000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169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28.92.30.160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170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28.92.30.190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28.92.40.120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28.92.61.110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28.92.62.000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28.93.15.110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28.93.15.120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28.93.17.110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28.93.17.120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179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28.93.2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28.96.10.122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28.96.10.123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28.99.31.120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29.10.51.000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Автокраны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189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29.10.52.110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29.10.52.130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29.10.59.140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29.10.59.180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198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29.10.59.230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199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29.10.59.240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29.10.59.250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29.10.59.270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29.10.59.310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29.10.59.280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29.10.59.320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Снегоочистители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29.10.59.390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29.20.23.110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29.20.23.120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29.20.23.130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29.20.23.190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30.11.21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Суда круизные, суда экскурсионные и аналогичные плавучие средства для 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перевозки пассажиров; паромы всех типов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30.11.22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30.11.23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30.11.24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Суда сухогрузные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30.11.31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30.11.32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30.11.33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30.11.40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30.11.50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209.10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Суда прогулочные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30.20.1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30.20.2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технического обслуживания или ремонта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30.20.31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30.20.32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немоторные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30.20.33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30.20.40.110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30.20.40.120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30.20.40.130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218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30.20.40.140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31.01.11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227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31.01.12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58602060185230001520000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9 360,00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9 360,00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31.02.10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Мебель кухонная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229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31.03.1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Матрасы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31.09.11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31.09.12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31.09.13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31.09.14.110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233.1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32.20.11.110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Фортепьяно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233.2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32.20.11.120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Пианино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233.3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32.20.11.130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Рояли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233.4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32.20.12.111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Скрипки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233.5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32.20.12.112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Альты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233.6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32.20.12.113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Виолончели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233.7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32.20.12.114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Контрабасы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32.20.12.121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Балалайки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234.1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32.20.12.122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Гитары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234.2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32.20.12.124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Домры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32.20.12.126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32.20.13.131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235.2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32.20.13.132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Баяны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32.20.13.133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Гармони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32.20.13.161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Трубы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32.20.13.163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Альты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32.20.13.164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Теноры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32.20.13.165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Баритоны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32.20.13.166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сузофоны</w:t>
            </w:r>
            <w:proofErr w:type="spellEnd"/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235.10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32.20.13.167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Валторны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235.11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32.20.13.168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Тромбоны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235.12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32.20.13.173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Флейты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235.13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32.20.13.174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Кларнеты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235.14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32.20.13.175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Саксофоны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235.15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32.20.13.176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Гобои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235.16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32.20.13.177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Фаготы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235.18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32.20.15.110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236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32.30.11.110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Лыжи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237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32.30.11.120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32.30.11.131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239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32.30.12.110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Ботинки лыжные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lastRenderedPageBreak/>
              <w:t>240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32.30.14.110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242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32.30.15.117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243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32.50.13.190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244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32.50.12.000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245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32.50.21.160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248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32.50.21.121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249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32.50.21.121</w:t>
            </w: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br/>
              <w:t>32.50.21.122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250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32.99.11.140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  <w:tr w:rsidR="006578CB" w:rsidRPr="00EA0D60" w:rsidTr="00EA0D60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251</w:t>
            </w:r>
          </w:p>
        </w:tc>
        <w:tc>
          <w:tcPr>
            <w:tcW w:w="21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42.99.12.110</w:t>
            </w:r>
          </w:p>
        </w:tc>
        <w:tc>
          <w:tcPr>
            <w:tcW w:w="38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22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-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578CB" w:rsidRPr="00EA0D60" w:rsidRDefault="006578CB" w:rsidP="006578C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</w:pPr>
            <w:r w:rsidRPr="00EA0D60">
              <w:rPr>
                <w:rFonts w:ascii="Verdana" w:eastAsia="Times New Roman" w:hAnsi="Verdana" w:cs="Times New Roman"/>
                <w:color w:val="222222"/>
                <w:sz w:val="18"/>
                <w:szCs w:val="20"/>
                <w:lang w:eastAsia="ru-RU"/>
              </w:rPr>
              <w:t>0,00</w:t>
            </w:r>
          </w:p>
        </w:tc>
      </w:tr>
    </w:tbl>
    <w:p w:rsidR="008C7016" w:rsidRPr="00EA0D60" w:rsidRDefault="008C7016">
      <w:pPr>
        <w:rPr>
          <w:sz w:val="20"/>
          <w:lang w:val="en-US"/>
        </w:rPr>
      </w:pPr>
    </w:p>
    <w:sectPr w:rsidR="008C7016" w:rsidRPr="00EA0D60" w:rsidSect="006578CB">
      <w:pgSz w:w="16838" w:h="11906" w:orient="landscape"/>
      <w:pgMar w:top="426" w:right="4222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F5"/>
    <w:rsid w:val="006578CB"/>
    <w:rsid w:val="008C7016"/>
    <w:rsid w:val="009D3B3F"/>
    <w:rsid w:val="00C039F5"/>
    <w:rsid w:val="00EA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3C940-66DB-4A4C-8E43-561E49A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78CB"/>
  </w:style>
  <w:style w:type="paragraph" w:customStyle="1" w:styleId="msonormal0">
    <w:name w:val="msonormal"/>
    <w:basedOn w:val="a"/>
    <w:rsid w:val="0065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5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657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8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30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2023-06-14T04:19:00Z</dcterms:created>
  <dcterms:modified xsi:type="dcterms:W3CDTF">2023-06-14T05:17:00Z</dcterms:modified>
</cp:coreProperties>
</file>